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E6874" w:rsidRDefault="00355477">
      <w:pPr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Додаток 1 </w:t>
      </w:r>
    </w:p>
    <w:p w:rsidR="001E6874" w:rsidRDefault="00355477" w:rsidP="007C6EE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Перелік завдань, проектів,</w:t>
      </w:r>
    </w:p>
    <w:p w:rsidR="001E6874" w:rsidRDefault="00355477" w:rsidP="007C6EE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робіт з інформатизації на три роки</w:t>
      </w:r>
    </w:p>
    <w:p w:rsidR="001E6874" w:rsidRDefault="001E6874">
      <w:pPr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5"/>
        <w:tblW w:w="1515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15"/>
        <w:gridCol w:w="2595"/>
        <w:gridCol w:w="1785"/>
        <w:gridCol w:w="1050"/>
        <w:gridCol w:w="1350"/>
        <w:gridCol w:w="885"/>
        <w:gridCol w:w="1035"/>
        <w:gridCol w:w="915"/>
        <w:gridCol w:w="855"/>
        <w:gridCol w:w="2865"/>
      </w:tblGrid>
      <w:tr w:rsidR="001E6874" w:rsidTr="00B30A26">
        <w:trPr>
          <w:trHeight w:val="345"/>
          <w:jc w:val="center"/>
        </w:trPr>
        <w:tc>
          <w:tcPr>
            <w:tcW w:w="181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Назва завдання</w:t>
            </w:r>
          </w:p>
        </w:tc>
        <w:tc>
          <w:tcPr>
            <w:tcW w:w="2595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Назва проекту, робіт із інформатизації</w:t>
            </w:r>
          </w:p>
        </w:tc>
        <w:tc>
          <w:tcPr>
            <w:tcW w:w="1785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Відповідальні за виконання</w:t>
            </w:r>
          </w:p>
        </w:tc>
        <w:tc>
          <w:tcPr>
            <w:tcW w:w="1050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Строки виконання</w:t>
            </w:r>
          </w:p>
        </w:tc>
        <w:tc>
          <w:tcPr>
            <w:tcW w:w="1350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3690" w:type="dxa"/>
            <w:gridSpan w:val="4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Обсяги фінансування, тис. грн.</w:t>
            </w:r>
          </w:p>
        </w:tc>
        <w:tc>
          <w:tcPr>
            <w:tcW w:w="2865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Очікувані результати</w:t>
            </w:r>
          </w:p>
        </w:tc>
      </w:tr>
      <w:tr w:rsidR="001E6874" w:rsidTr="00B30A26">
        <w:trPr>
          <w:trHeight w:val="345"/>
          <w:jc w:val="center"/>
        </w:trPr>
        <w:tc>
          <w:tcPr>
            <w:tcW w:w="181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95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Всього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  <w:tc>
          <w:tcPr>
            <w:tcW w:w="2865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</w:tr>
      <w:tr w:rsidR="001E6874" w:rsidTr="00B30A26">
        <w:trPr>
          <w:trHeight w:val="3015"/>
          <w:jc w:val="center"/>
        </w:trPr>
        <w:tc>
          <w:tcPr>
            <w:tcW w:w="181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Здійснити аудит доступу до публічної інформації.</w:t>
            </w:r>
          </w:p>
        </w:tc>
        <w:tc>
          <w:tcPr>
            <w:tcW w:w="259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Аналіз доступності та якості даних, зокрема публічної інформації у форматі відкритих даних, що збирається, створюється та обробляється розпорядниками, а також визначення методів і підходів до їх використання та побудова системи взаємодії з інформ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ацією.</w:t>
            </w:r>
          </w:p>
          <w:p w:rsidR="001E6874" w:rsidRDefault="00355477" w:rsidP="0015682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Оцінка існуючої цифрової інфраструктури, рівня цифрової обізнаності населення та доступу до адміністративних послуг для виявлення потреб у їх вдосконаленні.</w:t>
            </w:r>
          </w:p>
        </w:tc>
        <w:tc>
          <w:tcPr>
            <w:tcW w:w="178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15682C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91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Аудит інформатизації громади дозволить визначити слабкі сторони та перспективи вдосконалення інформаційних систем, що сприятиме покращенню обслуговування жителів і підвищенню ефективності управління.</w:t>
            </w:r>
          </w:p>
        </w:tc>
      </w:tr>
      <w:tr w:rsidR="001E6874" w:rsidTr="00645084">
        <w:trPr>
          <w:trHeight w:val="1541"/>
          <w:jc w:val="center"/>
        </w:trPr>
        <w:tc>
          <w:tcPr>
            <w:tcW w:w="181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9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6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</w:tr>
      <w:tr w:rsidR="001E6874" w:rsidTr="00B30A26">
        <w:trPr>
          <w:trHeight w:val="3690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Запровадження цифрових рішень, таких як електронні звернення, електронні петиції та електронні консультації.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B30A2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Реалізація електронних звернень, петицій та консультацій охоплює аналіз потреб громади, створення або адаптацію відповідної платформи, інтеграцію з адміністративними системами, навчання працівників і проведення інформаційної кампанії для населення.</w:t>
            </w:r>
            <w:r w:rsidR="00B30A2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Після впровадження ці інструменти проходять етап тестування, збір відгуків і вдосконалення. Такий підхід сприяє прозорій та ефективній взаємодії між владою та жителями.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Впровадження електронних інструментів має сприяти оперативному реагуванню на проблеми громадян і підвищенню рівня їхнього задоволення. Це дозволить мешканцям активніше впливати на формування громадської думки та процес прийняття рішень, що збільшить їхню участь у важливих питаннях громади. Окрім того, відкритий діалог між владою та громадянами допоможе точніше враховувати потреби мешканців при розробці нових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.</w:t>
            </w:r>
          </w:p>
        </w:tc>
      </w:tr>
      <w:tr w:rsidR="001E6874" w:rsidTr="00B30A26">
        <w:trPr>
          <w:trHeight w:val="3810"/>
          <w:jc w:val="center"/>
        </w:trPr>
        <w:tc>
          <w:tcPr>
            <w:tcW w:w="181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Оновлення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брендбука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громади</w:t>
            </w:r>
          </w:p>
        </w:tc>
        <w:tc>
          <w:tcPr>
            <w:tcW w:w="259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Оновлення банерів. Оновлення інформаційних банерів у громадських місцях, адміністративних будівлях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ЦНАПі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відповідно до фірмового стилю.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Створення нових вивісок та покажчиків.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Розробку сувенірної продукції. Виготовлення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промоційних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матеріалів – буклетів, ручок, блокнотів тощо для популяризації громади під час виставок, конференцій та офіційних заходів.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Оновлення інформаційних стендів. Осучаснення існуючих інформаційних стендів у місцях громадського користування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 оновлення інформації про діяльність громади.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Підготовку рекламних матеріалів. Розробку плакатів, афіш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постерів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просування туристичних маршрутів, місцевих подій та фестивалів.</w:t>
            </w:r>
          </w:p>
        </w:tc>
        <w:tc>
          <w:tcPr>
            <w:tcW w:w="178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Великокучурівська сільська рада</w:t>
            </w:r>
          </w:p>
        </w:tc>
        <w:tc>
          <w:tcPr>
            <w:tcW w:w="105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Очікуваний результат розробки бренд-бук громади полягає в підвищенні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впізнаваності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 та привабливості громади серед мешканців, інвесторів і туристів через створення єдиного стилю та комунікаційної стратегії, а також у забезпеченні послідовності візуального та комунікаційного представлення у всіх цифрових каналах.</w:t>
            </w:r>
          </w:p>
        </w:tc>
      </w:tr>
      <w:tr w:rsidR="001E6874" w:rsidTr="00B30A26">
        <w:trPr>
          <w:trHeight w:val="264"/>
          <w:jc w:val="center"/>
        </w:trPr>
        <w:tc>
          <w:tcPr>
            <w:tcW w:w="181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9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6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</w:tr>
      <w:tr w:rsidR="001E6874" w:rsidTr="00B30A26">
        <w:trPr>
          <w:trHeight w:val="3867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Медіа кампанія для поширення інформації про діяльність громади в контексті реалізації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Розробка медіа-стратегії для поширення інформації про діяльність громади з метою підвищення поінформованості місцевих мешканців, інвесторів і туристів про значущі події,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досягнення. Включає активне використання соціальних мереж, офіційного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вебсайту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громади та співпрацю з медіа для забезпечення максимальної прозорості та залучення аудиторії.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Мета полягає в підвищенні поінформованості мешканців, інвесторів і туристів щодо важливих подій, проектів та досягнень громади за допомогою активного використання соціальних мереж, офіційного сайту та співпраці з медіа, що сприятиме забезпеченню максимальної відкритості та залученню аудиторії.</w:t>
            </w: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</w:tc>
      </w:tr>
      <w:tr w:rsidR="001E6874" w:rsidTr="00B30A26">
        <w:trPr>
          <w:trHeight w:val="1074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Розширення цифрових комунікаційних каналів: створення інформаційних чат-ботів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Viber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територіальної громади та впровадження онлайн-системи оплати за послуги громади.</w:t>
            </w: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Адміністрування та технічна підтримка серверної інфраструктури автоматизованої інформаційно-аналітичної системи "Контакт-центр. Чат-бот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Viber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Великокучурівська територіальна громада", а також серверного робочого місця для управління зверненнями громадян та онлайн-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Розробка та інтеграція модуля персональних налаштувань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цієї системи, включаючи авторизацію користувачів через особистий кабінет територіальної громади.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Суть полягає у розробці зручної системи, яка дозволить мешканцям Великокучурівської територіальної громади легко оплачувати різноманітні послуги онлайн та отримувати необхідну інформацію, що спростить адміністрування та покращить якість обслуговування громадян.</w:t>
            </w:r>
          </w:p>
        </w:tc>
      </w:tr>
      <w:tr w:rsidR="001E6874" w:rsidTr="00B30A26">
        <w:trPr>
          <w:trHeight w:val="3492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Запровадження CRM-системи для автоматизації управлінських процесів у сільській раді.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передбачає запровадження CRM-системи для автоматизації управлінських процесів сільської ради, що включає адміністрування податків, облік, ведення електронної господарської книги, управління завданнями та контроль за діяльністю працівників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ЦНАПу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Суть полягає у впровадженні інтегрованої CRM-системи, яка автоматизує адміністративні процеси сільської ради, забезпечує належний облік податків і комунального майна, а також спрощує управління завданнями та звітністю, що сприятиме підвищенню прозорості, ефективності та якості обслуговування громадян.</w:t>
            </w:r>
          </w:p>
        </w:tc>
      </w:tr>
      <w:tr w:rsidR="001E6874" w:rsidTr="00B30A26">
        <w:trPr>
          <w:trHeight w:val="3059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Оцифровування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освітнього процесу.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Впровадження системи електронного обліку відвідуваності для учнів, вчителів та іншого персоналу.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Установка системи контролю доступу (турнікети та технічні засоби).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Придбання ліцензії на програмне забезпечення.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Активація системи контролю доступу.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Виготовлення та активація пластикових SMART-карток для електронного обліку відвідувань, що містять інтегральну схему з певним рівнем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програмованості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(персоніфікований учнівський квиток, робоче посвідчення).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Розробка дизайну SMART-карток (учнівський квиток, робоче посвідчення).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Технічна підтримка обслуговування електронної системи обліку відвідувань.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Підключення модуля поповнення SMART-карток (учнівський квиток, робоче посвідчення).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Впровадження електронних журналів.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Суть полягає в розробці ефективної системи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цифровізації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 освіти, яка включатиме автоматизований облік відвідуваності учнів і працівників, запровадження пропускної системи з використанням SMART-карток та інтеграцію електронних журналів. Це сприятиме підвищенню безпеки, покращенню організації навчального процесу та контролю за відвідуванням.</w:t>
            </w:r>
          </w:p>
        </w:tc>
      </w:tr>
      <w:tr w:rsidR="001E6874" w:rsidTr="00B30A26">
        <w:trPr>
          <w:trHeight w:val="885"/>
          <w:jc w:val="center"/>
        </w:trPr>
        <w:tc>
          <w:tcPr>
            <w:tcW w:w="181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Запровадження системи електронного голосування для депутатів.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Придбання комп'ютерної техніки для системи електронного голосування.</w:t>
            </w:r>
          </w:p>
        </w:tc>
        <w:tc>
          <w:tcPr>
            <w:tcW w:w="178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Мета полягає в розробці прозорої та ефективної системи електронного голосування для депутатів, що забезпечить легкий доступ до інформації, підвищить активність участі в голосуваннях та сприятиме більшій відкритості при ухваленні рішень.</w:t>
            </w:r>
          </w:p>
        </w:tc>
      </w:tr>
      <w:tr w:rsidR="001E6874" w:rsidTr="00B30A26">
        <w:trPr>
          <w:trHeight w:val="885"/>
          <w:jc w:val="center"/>
        </w:trPr>
        <w:tc>
          <w:tcPr>
            <w:tcW w:w="181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Набір послуг з розробки, налаштування та впровадження програмного забезпечення для системи електронного голосування.</w:t>
            </w:r>
          </w:p>
        </w:tc>
        <w:tc>
          <w:tcPr>
            <w:tcW w:w="17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</w:tr>
      <w:tr w:rsidR="001E6874" w:rsidTr="00B30A26">
        <w:trPr>
          <w:trHeight w:val="510"/>
          <w:jc w:val="center"/>
        </w:trPr>
        <w:tc>
          <w:tcPr>
            <w:tcW w:w="181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Закупівля ліцензії</w:t>
            </w:r>
          </w:p>
        </w:tc>
        <w:tc>
          <w:tcPr>
            <w:tcW w:w="17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</w:tr>
      <w:tr w:rsidR="001E6874" w:rsidTr="00B30A26">
        <w:trPr>
          <w:trHeight w:val="1050"/>
          <w:jc w:val="center"/>
        </w:trPr>
        <w:tc>
          <w:tcPr>
            <w:tcW w:w="181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Технічне обслуговування та адміністрування системи електронного голосування.</w:t>
            </w:r>
          </w:p>
        </w:tc>
        <w:tc>
          <w:tcPr>
            <w:tcW w:w="17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</w:tr>
      <w:tr w:rsidR="001E6874" w:rsidTr="00B30A26">
        <w:trPr>
          <w:trHeight w:val="3750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Впровадження QR-кодів в громаді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Організація швидкого та зручного доступу до послуг у закладах освіти за допомогою сканування QR-кодів, що дозволить скоротити час на очікування та оформлення документів.</w:t>
            </w: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 w:rsidP="0015682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E6874" w:rsidRDefault="003554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Pr="0015682C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Запровадження QR-кодів спростить доступ громадян до адміністративних послуг, забезпечить швидкі та зручні платежі, що сприятиме загальному підвищенню рівня обслуговування. Це також підвищить прозорість процесів, дозволяючи мешканцям легко відстежувати статус своїх запитів і отримувати актуальну інформацію. В цілому, впровадження QR-кодів сприятиме активізації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громади та покращенню комунікації між мешканцями та органами влади.</w:t>
            </w:r>
          </w:p>
        </w:tc>
      </w:tr>
      <w:tr w:rsidR="001E6874" w:rsidTr="00B30A26">
        <w:trPr>
          <w:trHeight w:val="2775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Покращення через відкриті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Wi-Fi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 зони.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Покращити через відкриті зони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Wi-Fi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:</w:t>
            </w: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Навчальні заклади середньої освіти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Центри надання адміністративних послуг, їх територіальні підрозділи та віддалені робочі місця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Бібліотеки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Пункти незламності (фронт-офіси)</w:t>
            </w:r>
          </w:p>
          <w:p w:rsidR="001E6874" w:rsidRDefault="00355477" w:rsidP="0015682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Громадські парки та майданчики.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E6874" w:rsidRDefault="003554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Очікуваний результат полягає в наданні безкоштовного доступу до інтернету в закладах середньої освіти, ЦНАП, бібліотеках та пунктах незламності, що сприятиме покращенню якості обслуговування та комунікації.</w:t>
            </w:r>
          </w:p>
        </w:tc>
      </w:tr>
      <w:tr w:rsidR="001E6874" w:rsidTr="00B30A26">
        <w:trPr>
          <w:trHeight w:val="6510"/>
          <w:jc w:val="center"/>
        </w:trPr>
        <w:tc>
          <w:tcPr>
            <w:tcW w:w="181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 xml:space="preserve">Занесення метаданих до Національного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геопорталу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.</w:t>
            </w:r>
          </w:p>
        </w:tc>
        <w:tc>
          <w:tcPr>
            <w:tcW w:w="259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Здійснено реєстрацію.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Верифікація даних: Провести верифікацію через відповідні органи (геодезисти, картографи).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та навчання: Забезпечити інтеграцію даних з іншими платформами та провести навчання персоналу щодо роботи з системою.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даних: Провести аналіз містобудівних, землевпорядних і топографічних документів для реєстрації.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Підготовка метаданих: Привести документи до вимог стандартів метаданих Національного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геопорталу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Реєстрація: Подати підготовлені дані для реєстрації в систему порталу.</w:t>
            </w:r>
          </w:p>
          <w:p w:rsidR="001E6874" w:rsidRDefault="00355477" w:rsidP="0015682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Навчання та підтримка: Організувати навчання для відповідальних осіб і забезпечити технічну підтримку.</w:t>
            </w:r>
          </w:p>
        </w:tc>
        <w:tc>
          <w:tcPr>
            <w:tcW w:w="178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Доступ до даних: Покращення доступу до точних географічних даних для місцевих органів влади та громадян.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Управління територією: Спрощення процесів планування та управління територіями.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Прозорість: Збільшення відкритості управлінських процесів.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з іншими системами: Спрощена взаємодія з іншими державними платформами.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Легкий доступ до даних: Громадяни та органи влади зможуть зручно отримувати актуальні документи через Національний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геопортал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Прозорість у містобудуванні: Підвищення відкритості у питаннях містобудування та землевпорядкування.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Ефективність управління: Спрощення адміністративних процесів і прийняття рішень.</w:t>
            </w:r>
          </w:p>
        </w:tc>
      </w:tr>
      <w:tr w:rsidR="001E6874" w:rsidTr="00B30A26">
        <w:trPr>
          <w:trHeight w:val="804"/>
          <w:jc w:val="center"/>
        </w:trPr>
        <w:tc>
          <w:tcPr>
            <w:tcW w:w="181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9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6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6874" w:rsidRDefault="001E6874">
            <w:pPr>
              <w:widowControl w:val="0"/>
              <w:rPr>
                <w:sz w:val="20"/>
                <w:szCs w:val="20"/>
              </w:rPr>
            </w:pPr>
          </w:p>
        </w:tc>
      </w:tr>
      <w:tr w:rsidR="001E6874" w:rsidTr="00B30A26">
        <w:trPr>
          <w:trHeight w:val="3450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Включення комунальних спортивних споруд до реєстру.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спортивних споруд – перевірка стану всіх комунальних об'єктів і їх технічних характеристик.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Створення критеріїв – визначення вимог для включення споруд до Реєстру.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Інформування власників – проведення кампаній і консультацій для інформування про необхідність внесення об'єктів.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Підтримка власників – надання допомоги у зборі документів та поданні необхідної інформації.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Включення в Реєстр – розробка платформи для збору і обробки даних.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Перевірка і оновлення – періодичне оновлення інформації в Реєстрі.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Публікація Реєстру – забезпечення доступу громадян до інформації.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Доступність споруд – зручний доступ до даних про спортивні об'єкти.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Покращення управління – більш ефективне адміністрування спортивною інфраструктурою.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Прозорість процесу – збільшення відкритості та підзвітності в управлінні.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Інвестиції – залучення додаткових коштів для розвитку спортивних об'єктів.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Покращення якості – оперативне виявлення проблем і поліпшення стану об'єктів.</w:t>
            </w:r>
          </w:p>
        </w:tc>
      </w:tr>
      <w:tr w:rsidR="001E6874" w:rsidTr="00B30A26">
        <w:trPr>
          <w:trHeight w:val="3675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Занесення та перевірка інформації в реєстрі нерухомої спадщини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єПам'ятка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Розробка онлайн-заявок для платформи, яка дозволяє власникам спортивних споруд подавати інформацію та вносити свої об'єкти до Реєстру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єПам'ятка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. Це включає верифікацію прав власності та історичних даних, оцінку технічного стану об'єктів, комунікацію про статус заявок, реєстрацію пам'яток через електронні системи, інформування громади та регулярний моніторинг стану об'єктів з наданням підтримки для покращення інфраструктури.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Охорона культурної спадщини шляхом реєстрації історичних пам'яток.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Забезпечення кращого доступу до інформації про об'єкти нерухомої спадщини.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Збільшення прозорості та посилення охорони пам'яток.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Сприяння розвитку туризму та популяризація місцевих історичних пам'яток.</w:t>
            </w: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</w:tc>
      </w:tr>
      <w:tr w:rsidR="001E6874" w:rsidTr="00B30A26">
        <w:trPr>
          <w:trHeight w:val="933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Інтеграція працівників органів місцевого самоврядування до платформи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Дія.освіта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 з метою підвищення їх цифрової грамотності та поліпшення ефективності роботи.</w:t>
            </w: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потреб та цільової аудиторії: Ідентифікувати працівників органів місцевого самоврядування та комунальних установ для навчання на платформі.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з іншими системами: Забезпечити легкий доступ до платформи через державні реєстраційні системи.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Інформаційна кампанія: Провести кампанію через соціальні мережі та внутрішні канали для популяризації платформи серед цільової аудиторії.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Тренінги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вебінари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: Організувати навчальні заходи для працівників щодо ефективного використання платформи.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Мотивація: Впровадити систему сертифікації та стимулів для активних користувачів.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Залучено нових користувачів до веб-платформи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Дія.освіта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зокрема, забезпечено доступ для всіх працівників органів місцевого самоврядування та комунальних установ.</w:t>
            </w: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874" w:rsidTr="00B30A26">
        <w:trPr>
          <w:trHeight w:val="1650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Впровадження освітніх інформаційних систем у закладах загальної середньої освіти та їх філіях.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потреб – вивчення поточних процесів в освітніх установах та визначення необхідних функцій для впровадження ОІС.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Вибір та налаштування ОІС – вибір підходящої системи та її налаштування для ведення обліку учнів, планування уроків, оцінювання тощо.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– поєднання ОІС з іншими платформами та базами даних.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Навчання персоналу – організація тренінгів для педагогічного складу та адміністрації.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Пілотний запуск – тестування ОІС в кількох освітніх установах.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Масштабування – поширення використання системи на всі школи та філії.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Інформаційна кампанія – інформування батьків та громадськості про нові можливості системи.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Оптимізація управлінських процесів – автоматизація для зниження помилок та збільшення продуктивності.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Прозорість і доступність – зручний доступ до необхідної інформації для учнів, батьків і педагогів.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Економія часу та ресурсів – удосконалення адміністративних процедур і зменшення навантаження на вчителів.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Поліпшення взаємодії – ефективна комунікація між школою та батьками.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Покращення якості освіти – підвищення результативності навчання через використання сучасних інструментів.</w:t>
            </w:r>
          </w:p>
        </w:tc>
      </w:tr>
      <w:tr w:rsidR="001E6874" w:rsidTr="00B30A26">
        <w:trPr>
          <w:trHeight w:val="3015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ТГ успішно завершила курс з навчання по адресному реєстру (ЄДРА).</w:t>
            </w: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потреб і рівня знань працівників ТГ щодо ЄДРА.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Розробка програми навчання та організація тренінгів для персоналу.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навчального процесу з реальними процедурами обробки даних.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Моніторинг ефективності навчання та коригування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методик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Поліпшення якості обробки даних у ЄДРА та зменшення кількості помилок.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Покращення актуальності та точності інформації в реєстрі.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Збільшення ефективності роботи територіальних громад і підвищення задоволення громадян.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Розвиток цифрової компетентності працівників.</w:t>
            </w:r>
          </w:p>
        </w:tc>
      </w:tr>
      <w:tr w:rsidR="001E6874" w:rsidTr="00B30A26">
        <w:trPr>
          <w:trHeight w:val="3765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Підсистема «Кейс-менеджмент» (соціальна сфера)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Громада здатна ефективно організовувати надання послуг своїм членам, враховуючи їхні особливі потреби. Вона також отримає доступ до необхідних ресурсів і підтримки, що допоможе вирішити проблеми, з якими стикаються її представники. Окрім того, громада зможе здійснювати моніторинг результатів надання допомоги та оцінювати ефективність своїх дій у сфері соціальної підтримки.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Покращення ефективності – Швидше вирішення справ і менше помилок.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Підвищення якості обслуговування – Швидша та персоналізована підтримка.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Збільшення прозорості – Кращий моніторинг і зменшення корупційних ризиків.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Оптимізація ресурсів – Ефективніше використання ресурсів та зменшення навантаження на працівників.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Покращений аналіз даних – Більш точна інформація для прогнозування потреб громадян.</w:t>
            </w:r>
          </w:p>
        </w:tc>
      </w:tr>
      <w:tr w:rsidR="001E6874" w:rsidTr="00B30A26">
        <w:trPr>
          <w:trHeight w:val="2075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Заклади охорони здоров’я запровадили політики та процедури інформаційної безпеки відповідно до рекомендацій МОЗ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Держспецзв’язку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Ознайомлення з вимогами МОЗ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Держспецзв’язку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: аналіз політик і процедур безпеки.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існуючих систем: виявлення вразливих місць і визначення рівня безпеки.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Розробка заходів з безпеки: створення внутрішніх норм для захисту інформації.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Навчання співробітників: проведення тренінгів для персоналу медичних закладів.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Впровадження заходів захисту: застосування шифрування, контролю доступу та антивірусного програмного забезпечення.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Моніторинг і перевірка: регулярне оновлення політик безпеки та їх моніторинг.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Адаптація до змін: коригування політик відповідно до нових вимог і стандартів.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Загальний обсяг включає фінансування з таких джерел: державного бюджету, обласного бюджету, місцевих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Охорона персональних даних пацієнтів: гарантування конфіденційності медичних записів.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Зменшення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кіберзагроз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: мінімізація ризику атак та витоку інформації.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Відповідність стандартам: дотримання національних та міжнародних вимог.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Підвищення довіри: зміцнення довіри з боку пацієнтів і медичного персоналу.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Виконання державних вимог: забезпечення відповідності вимогам МОЗ і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Держспецзв’язку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.</w:t>
            </w:r>
          </w:p>
        </w:tc>
      </w:tr>
      <w:tr w:rsidR="001E6874" w:rsidTr="00B30A26">
        <w:trPr>
          <w:trHeight w:val="2067"/>
          <w:jc w:val="center"/>
        </w:trPr>
        <w:tc>
          <w:tcPr>
            <w:tcW w:w="18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Запровадження електронної черги через CRM-систему для ЦНАП.</w:t>
            </w: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потреб ЦНАП: Аналіз поточних процесів та визначення вимог до нової системи.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Вибір CRM-системи: Огляд доступних платформ та інтеграція рішення для підтримки електронної черги.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Розробка модуля електронної черги: Налаштування онлайн-реєстрації та визначення пріоритетів для пільгових категорій.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Тестування та впровадження: Пілотне тестування та коригування функціоналу системи.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Навчання персоналу: Проведення тренінгів для співробітників та підготовка інструкцій.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Інформування громадян: </w:t>
            </w: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Проведення інформаційної кампанії та створення інструкцій для користувачів.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Моніторинг та вдосконалення: Оцінка результативності роботи системи та її подальше оновлення.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Великокучурівська сільська рада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2025-2027 роки</w:t>
            </w:r>
          </w:p>
        </w:tc>
        <w:tc>
          <w:tcPr>
            <w:tcW w:w="13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 включає фінансування з таких джерел: державного бюджету, обласного бюджету, місцевих бюджетів, а також інших джерел.</w:t>
            </w:r>
          </w:p>
        </w:tc>
        <w:tc>
          <w:tcPr>
            <w:tcW w:w="8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 w:rsidP="001568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Скорочення часу очікування: Швидке обслуговування без довгих черг.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Підвищення ефективності: Автоматизація для зменшення помилок.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Покращення задоволеності громадян: Зручний запис через онлайн-сервіси.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Зменшення навантаження на персонал: Легший моніторинг черг.</w:t>
            </w:r>
          </w:p>
          <w:p w:rsidR="001E6874" w:rsidRDefault="0035547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Забезпечення рівного доступу до послуг: Пріоритет для пільгових категорій.</w:t>
            </w: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  <w:p w:rsidR="001E6874" w:rsidRDefault="001E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</w:p>
        </w:tc>
      </w:tr>
      <w:tr w:rsidR="001E6874" w:rsidTr="00B30A26">
        <w:trPr>
          <w:trHeight w:val="863"/>
          <w:jc w:val="center"/>
        </w:trPr>
        <w:tc>
          <w:tcPr>
            <w:tcW w:w="9480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E6874" w:rsidRDefault="00355477" w:rsidP="00B3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Всього за програми, проекту, робіт з інформатизації</w:t>
            </w:r>
          </w:p>
          <w:p w:rsidR="001E6874" w:rsidRDefault="00355477" w:rsidP="00B3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органу місцевого самоврядування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E6874" w:rsidRDefault="00355477" w:rsidP="00B30A2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E6874" w:rsidRDefault="00355477" w:rsidP="00B30A2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E6874" w:rsidRDefault="00355477" w:rsidP="00B30A2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E6874" w:rsidRDefault="00355477" w:rsidP="00B30A2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Всього:</w:t>
            </w:r>
          </w:p>
          <w:p w:rsidR="001E6874" w:rsidRDefault="00355477" w:rsidP="00B30A2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295</w:t>
            </w:r>
            <w:r w:rsidR="0015682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E6874" w:rsidRDefault="001E6874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1E6874" w:rsidSect="00B30A26">
      <w:footerReference w:type="default" r:id="rId6"/>
      <w:pgSz w:w="15840" w:h="12240" w:orient="landscape"/>
      <w:pgMar w:top="568" w:right="1440" w:bottom="568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0A2" w:rsidRDefault="00A330A2">
      <w:pPr>
        <w:spacing w:line="240" w:lineRule="auto"/>
      </w:pPr>
      <w:r>
        <w:separator/>
      </w:r>
    </w:p>
  </w:endnote>
  <w:endnote w:type="continuationSeparator" w:id="0">
    <w:p w:rsidR="00A330A2" w:rsidRDefault="00A33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874" w:rsidRDefault="001E68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0A2" w:rsidRDefault="00A330A2">
      <w:pPr>
        <w:spacing w:line="240" w:lineRule="auto"/>
      </w:pPr>
      <w:r>
        <w:separator/>
      </w:r>
    </w:p>
  </w:footnote>
  <w:footnote w:type="continuationSeparator" w:id="0">
    <w:p w:rsidR="00A330A2" w:rsidRDefault="00A330A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874"/>
    <w:rsid w:val="00095B46"/>
    <w:rsid w:val="0015682C"/>
    <w:rsid w:val="001E6874"/>
    <w:rsid w:val="00355477"/>
    <w:rsid w:val="00645084"/>
    <w:rsid w:val="007C6EE9"/>
    <w:rsid w:val="00A330A2"/>
    <w:rsid w:val="00AB3E50"/>
    <w:rsid w:val="00B3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8E911-B082-4A3A-876B-98ECBD18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3085</Words>
  <Characters>17589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MARIYA-SKR</dc:creator>
  <cp:lastModifiedBy>MARIYA-SKR</cp:lastModifiedBy>
  <cp:revision>5</cp:revision>
  <dcterms:created xsi:type="dcterms:W3CDTF">2025-02-21T07:22:00Z</dcterms:created>
  <dcterms:modified xsi:type="dcterms:W3CDTF">2025-02-21T08:01:00Z</dcterms:modified>
</cp:coreProperties>
</file>