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DA6039" w:rsidRDefault="006C0FBC">
      <w:pPr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Додаток 2 </w:t>
      </w:r>
    </w:p>
    <w:p w:rsidR="00DA6039" w:rsidRDefault="006C0FBC" w:rsidP="00550E5B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Перелік індикаторів цифрової</w:t>
      </w:r>
    </w:p>
    <w:p w:rsidR="00DA6039" w:rsidRDefault="006C0FBC" w:rsidP="00550E5B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трансформації територіальної громади</w:t>
      </w:r>
    </w:p>
    <w:p w:rsidR="00DA6039" w:rsidRDefault="00DA6039">
      <w:pPr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5"/>
        <w:tblW w:w="14565" w:type="dxa"/>
        <w:tblInd w:w="-8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45"/>
        <w:gridCol w:w="3495"/>
        <w:gridCol w:w="3810"/>
        <w:gridCol w:w="1035"/>
        <w:gridCol w:w="960"/>
        <w:gridCol w:w="1035"/>
        <w:gridCol w:w="1035"/>
        <w:gridCol w:w="1035"/>
        <w:gridCol w:w="1515"/>
      </w:tblGrid>
      <w:tr w:rsidR="00DA6039">
        <w:trPr>
          <w:trHeight w:val="315"/>
        </w:trPr>
        <w:tc>
          <w:tcPr>
            <w:tcW w:w="64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з/п</w:t>
            </w:r>
          </w:p>
        </w:tc>
        <w:tc>
          <w:tcPr>
            <w:tcW w:w="3495" w:type="dxa"/>
            <w:vMerge w:val="restart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Назва пріоритетного напрямку</w:t>
            </w:r>
          </w:p>
        </w:tc>
        <w:tc>
          <w:tcPr>
            <w:tcW w:w="3810" w:type="dxa"/>
            <w:vMerge w:val="restart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 індикатора</w:t>
            </w:r>
          </w:p>
        </w:tc>
        <w:tc>
          <w:tcPr>
            <w:tcW w:w="1035" w:type="dxa"/>
            <w:vMerge w:val="restart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Одиниця виміру</w:t>
            </w:r>
          </w:p>
        </w:tc>
        <w:tc>
          <w:tcPr>
            <w:tcW w:w="960" w:type="dxa"/>
            <w:vMerge w:val="restart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Базове</w:t>
            </w:r>
          </w:p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значення</w:t>
            </w:r>
          </w:p>
        </w:tc>
        <w:tc>
          <w:tcPr>
            <w:tcW w:w="3105" w:type="dxa"/>
            <w:gridSpan w:val="3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Цільові значення індикатора</w:t>
            </w:r>
          </w:p>
        </w:tc>
        <w:tc>
          <w:tcPr>
            <w:tcW w:w="1515" w:type="dxa"/>
            <w:vMerge w:val="restart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Динаміка (+/-, %)</w:t>
            </w:r>
          </w:p>
        </w:tc>
      </w:tr>
      <w:tr w:rsidR="00DA6039">
        <w:trPr>
          <w:trHeight w:val="300"/>
        </w:trPr>
        <w:tc>
          <w:tcPr>
            <w:tcW w:w="64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6039" w:rsidRDefault="00DA603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vMerge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6039" w:rsidRDefault="00DA603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0" w:type="dxa"/>
            <w:vMerge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6039" w:rsidRDefault="00DA603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5" w:type="dxa"/>
            <w:vMerge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6039" w:rsidRDefault="00DA603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6039" w:rsidRDefault="00DA603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2025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2026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  <w:tc>
          <w:tcPr>
            <w:tcW w:w="1515" w:type="dxa"/>
            <w:vMerge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6039" w:rsidRDefault="00DA603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6039">
        <w:trPr>
          <w:trHeight w:val="1980"/>
        </w:trPr>
        <w:tc>
          <w:tcPr>
            <w:tcW w:w="645" w:type="dxa"/>
            <w:vMerge w:val="restart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49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Здійснити аудит доступу до публічної інформації.</w:t>
            </w:r>
          </w:p>
        </w:tc>
        <w:tc>
          <w:tcPr>
            <w:tcW w:w="3810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Аналіз наявних даних, зокрема публічної інформації у форматі відкритих даних, що збирається, створюється та обробляється розпорядниками інформації, а також визначення методів та шляхів роботи з цією інформацією, створення ефективної системи взаємодії з інформацією. Оцінка існуючої цифрової інфраструктури, рівня цифрової грамотності громадян і доступності адміністративних послуг для виявлення потреб у їх удосконаленні.</w:t>
            </w:r>
          </w:p>
        </w:tc>
        <w:tc>
          <w:tcPr>
            <w:tcW w:w="103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60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103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33.3%</w:t>
            </w:r>
          </w:p>
        </w:tc>
        <w:tc>
          <w:tcPr>
            <w:tcW w:w="103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33.3%</w:t>
            </w:r>
          </w:p>
        </w:tc>
        <w:tc>
          <w:tcPr>
            <w:tcW w:w="103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33.3%</w:t>
            </w:r>
          </w:p>
        </w:tc>
        <w:tc>
          <w:tcPr>
            <w:tcW w:w="151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DA6039">
        <w:trPr>
          <w:trHeight w:val="264"/>
        </w:trPr>
        <w:tc>
          <w:tcPr>
            <w:tcW w:w="645" w:type="dxa"/>
            <w:vMerge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6039" w:rsidRDefault="00DA603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6039" w:rsidRDefault="00DA603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0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6039" w:rsidRDefault="00DA603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6039" w:rsidRDefault="00DA603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6039" w:rsidRDefault="00DA603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6039" w:rsidRDefault="00DA603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6039" w:rsidRDefault="00DA603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6039" w:rsidRDefault="00DA603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6039" w:rsidRDefault="00DA603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6039">
        <w:trPr>
          <w:trHeight w:val="3000"/>
        </w:trPr>
        <w:tc>
          <w:tcPr>
            <w:tcW w:w="64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4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Впровадження цифрових рішень, таких як електронні звернення, електронні петиції та електронні консультації.</w:t>
            </w:r>
          </w:p>
        </w:tc>
        <w:tc>
          <w:tcPr>
            <w:tcW w:w="38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 w:rsidP="00550E5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Запровадження електронних звернень, петицій та консультацій передбачає вивчення потреб громади, розробку або адаптацію відповідної платформи, її інтеграцію з адміністративними системами, навчання працівників та проведення інформаційної кампанії для мешканців. Після запуску інструменти проходять тестування, збір відгуків та вдосконалення. Це сприяє прозорій і ефективній комунікації між органами влади та громадянами.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6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40%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50%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10%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DA6039">
        <w:trPr>
          <w:trHeight w:val="3510"/>
        </w:trPr>
        <w:tc>
          <w:tcPr>
            <w:tcW w:w="645" w:type="dxa"/>
            <w:vMerge w:val="restart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3</w:t>
            </w:r>
          </w:p>
        </w:tc>
        <w:tc>
          <w:tcPr>
            <w:tcW w:w="349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Розробка та впровадження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брендбуку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громади.</w:t>
            </w:r>
          </w:p>
        </w:tc>
        <w:tc>
          <w:tcPr>
            <w:tcW w:w="3810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 w:rsidP="00550E5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Розробка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брендбуку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громади та гербів кожного населеного пункту в рамках плану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цифровізації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формування єдиного стилю та комунікаційної стратегії, яка сприятиме підвищенню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впізнаваності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 привабливості громади серед місцевих жителів, інвесторів і туристів.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Цифровізація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брендбуку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дозволить інтегрувати його стиль у всі цифрові комунікації громади, забезпечуючи єдність візуального та комунікаційного представлення в онлайн-просторі.</w:t>
            </w:r>
          </w:p>
        </w:tc>
        <w:tc>
          <w:tcPr>
            <w:tcW w:w="103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60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80%</w:t>
            </w:r>
          </w:p>
        </w:tc>
        <w:tc>
          <w:tcPr>
            <w:tcW w:w="103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10%</w:t>
            </w:r>
          </w:p>
        </w:tc>
        <w:tc>
          <w:tcPr>
            <w:tcW w:w="103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10%</w:t>
            </w:r>
          </w:p>
        </w:tc>
        <w:tc>
          <w:tcPr>
            <w:tcW w:w="103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1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DA6039">
        <w:trPr>
          <w:trHeight w:val="280"/>
        </w:trPr>
        <w:tc>
          <w:tcPr>
            <w:tcW w:w="645" w:type="dxa"/>
            <w:vMerge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6039" w:rsidRDefault="00DA603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6039" w:rsidRDefault="00DA603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0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6039" w:rsidRDefault="00DA603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6039" w:rsidRDefault="00DA603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DA60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6039" w:rsidRDefault="00DA603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6039" w:rsidRDefault="00DA603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6039" w:rsidRDefault="00DA603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6039" w:rsidRDefault="00DA603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6039">
        <w:trPr>
          <w:trHeight w:val="1560"/>
        </w:trPr>
        <w:tc>
          <w:tcPr>
            <w:tcW w:w="64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34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Медіа кампанія для поширення інформації про діяльність громади в контексті реалізації плану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цифровізації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8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Розробка медіа кампанії для інформування мешканців, інвесторів та туристів про ключові події,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проєкти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 досягнення громади з метою підвищення їх обізнаності. Кампанія має включати активне використання соціальних мереж, офіційного сайту громади та співпрацю з медіа для забезпечення максимальної прозорості та залучення широкої аудиторії.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6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Так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Так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Так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Так</w:t>
            </w:r>
          </w:p>
        </w:tc>
        <w:tc>
          <w:tcPr>
            <w:tcW w:w="15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DA6039">
        <w:trPr>
          <w:trHeight w:val="1905"/>
        </w:trPr>
        <w:tc>
          <w:tcPr>
            <w:tcW w:w="64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34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Розширення цифрових комунікаційних каналів: створення інформаційних чат-ботів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Viber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для територіальної громади та впровадження онлайн-системи оплати за послуги громади.</w:t>
            </w:r>
          </w:p>
        </w:tc>
        <w:tc>
          <w:tcPr>
            <w:tcW w:w="38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 наявних чат ботах впровадження онлайн-системи оплати за послуги громади таких як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сміття,податки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 інші послуги через платіжну систему.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6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50%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50%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DA6039">
        <w:trPr>
          <w:trHeight w:val="1245"/>
        </w:trPr>
        <w:tc>
          <w:tcPr>
            <w:tcW w:w="64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6</w:t>
            </w:r>
          </w:p>
        </w:tc>
        <w:tc>
          <w:tcPr>
            <w:tcW w:w="34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Запровадження CRM-системи для автоматизації управлінських процесів у сільській раді.</w:t>
            </w:r>
          </w:p>
        </w:tc>
        <w:tc>
          <w:tcPr>
            <w:tcW w:w="38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Проект передбачає впровадження CRM-системи для автоматизації управлінських процесів сільської ради, що охоплює адміністрування податків, облік, ведення електронної господарської книги, управління завданнями та моніторинг роботи працівників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ЦНАПу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6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20%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20%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20%</w:t>
            </w:r>
          </w:p>
        </w:tc>
        <w:tc>
          <w:tcPr>
            <w:tcW w:w="15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DA6039">
        <w:trPr>
          <w:trHeight w:val="5025"/>
        </w:trPr>
        <w:tc>
          <w:tcPr>
            <w:tcW w:w="64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34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Оцифровування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освітнього процесу.</w:t>
            </w:r>
          </w:p>
        </w:tc>
        <w:tc>
          <w:tcPr>
            <w:tcW w:w="38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Запровадження системи електронного обліку присутності учнів, педагогічного складу та іншого персоналу.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Встановлення системи контролю доступу (турнікети та відповідне технічне обладнання).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Придбання ліцензії для забезпечення програмного забезпечення.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Активування системи контролю доступу.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Виготовлення та активація пластикових SMART-карток для системи електронного обліку відвідуваності, що містять інтегральну схему, яка надає можливість програмувати картки (персоналізований учнівський квиток, робоче посвідчення).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Розробка дизайну SMART-карток (персоналізований учнівський квиток, робоче посвідчення).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Технічна підтримка обслуговування електронної системи обліку відвідуваності.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Підключення модуля поповнення SMART-карток (персоналізований учнівський квиток, робоче посвідчення).</w:t>
            </w:r>
          </w:p>
          <w:p w:rsidR="00DA6039" w:rsidRDefault="006C0FBC" w:rsidP="00550E5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Впровадження електронних журналів.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6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66,60%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33,30%</w:t>
            </w:r>
          </w:p>
        </w:tc>
        <w:tc>
          <w:tcPr>
            <w:tcW w:w="15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DA6039">
        <w:trPr>
          <w:trHeight w:val="525"/>
        </w:trPr>
        <w:tc>
          <w:tcPr>
            <w:tcW w:w="645" w:type="dxa"/>
            <w:vMerge w:val="restart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349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Запровадження системи електронного голосування для депутатів.</w:t>
            </w:r>
          </w:p>
        </w:tc>
        <w:tc>
          <w:tcPr>
            <w:tcW w:w="38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Набір послуг з розробки, налаштування та впровадження програмного забезпечення для системи електронного голосування.</w:t>
            </w:r>
          </w:p>
        </w:tc>
        <w:tc>
          <w:tcPr>
            <w:tcW w:w="103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60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103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70%</w:t>
            </w:r>
          </w:p>
        </w:tc>
        <w:tc>
          <w:tcPr>
            <w:tcW w:w="103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15%</w:t>
            </w:r>
          </w:p>
        </w:tc>
        <w:tc>
          <w:tcPr>
            <w:tcW w:w="103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15%</w:t>
            </w:r>
          </w:p>
        </w:tc>
        <w:tc>
          <w:tcPr>
            <w:tcW w:w="151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DA6039" w:rsidTr="00550E5B">
        <w:trPr>
          <w:trHeight w:val="455"/>
        </w:trPr>
        <w:tc>
          <w:tcPr>
            <w:tcW w:w="645" w:type="dxa"/>
            <w:vMerge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6039" w:rsidRDefault="00DA603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6039" w:rsidRDefault="00DA603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 w:rsidP="00550E5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Придбання комп'ютерної техніки для системи електронного голосування.</w:t>
            </w:r>
          </w:p>
        </w:tc>
        <w:tc>
          <w:tcPr>
            <w:tcW w:w="103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6039" w:rsidRDefault="00DA603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6039" w:rsidRDefault="00DA603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6039" w:rsidRDefault="00DA603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6039" w:rsidRDefault="00DA603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6039" w:rsidRDefault="00DA603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6039" w:rsidRDefault="00DA603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6039">
        <w:trPr>
          <w:trHeight w:val="315"/>
        </w:trPr>
        <w:tc>
          <w:tcPr>
            <w:tcW w:w="645" w:type="dxa"/>
            <w:vMerge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6039" w:rsidRDefault="00DA603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6039" w:rsidRDefault="00DA603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Технічне адміністрування системи електронного голосування.</w:t>
            </w:r>
          </w:p>
        </w:tc>
        <w:tc>
          <w:tcPr>
            <w:tcW w:w="103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6039" w:rsidRDefault="00DA603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6039" w:rsidRDefault="00DA603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6039" w:rsidRDefault="00DA603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6039" w:rsidRDefault="00DA603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6039" w:rsidRDefault="00DA603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6039" w:rsidRDefault="00DA603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6039">
        <w:trPr>
          <w:trHeight w:val="750"/>
        </w:trPr>
        <w:tc>
          <w:tcPr>
            <w:tcW w:w="64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111A18"/>
                <w:sz w:val="20"/>
                <w:szCs w:val="20"/>
              </w:rPr>
              <w:t>9</w:t>
            </w:r>
          </w:p>
        </w:tc>
        <w:tc>
          <w:tcPr>
            <w:tcW w:w="34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111A18"/>
                <w:sz w:val="20"/>
                <w:szCs w:val="20"/>
              </w:rPr>
              <w:t>Впровадження QR-кодів в громаді</w:t>
            </w:r>
          </w:p>
        </w:tc>
        <w:tc>
          <w:tcPr>
            <w:tcW w:w="38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Запровадження у закладах освіти можливості швидкого та зручного доступу до послуг через сканування QR-кодів, що дозволить скоротити час на очікування та оформлення документів.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6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70%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30%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DA6039">
        <w:trPr>
          <w:trHeight w:val="1845"/>
        </w:trPr>
        <w:tc>
          <w:tcPr>
            <w:tcW w:w="64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111A18"/>
                <w:sz w:val="20"/>
                <w:szCs w:val="20"/>
              </w:rPr>
              <w:t>10</w:t>
            </w:r>
          </w:p>
        </w:tc>
        <w:tc>
          <w:tcPr>
            <w:tcW w:w="34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111A18"/>
                <w:sz w:val="20"/>
                <w:szCs w:val="20"/>
              </w:rPr>
              <w:t xml:space="preserve">Покращення через відкриті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11A18"/>
                <w:sz w:val="20"/>
                <w:szCs w:val="20"/>
              </w:rPr>
              <w:t>Wi-Fi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11A18"/>
                <w:sz w:val="20"/>
                <w:szCs w:val="20"/>
              </w:rPr>
              <w:t xml:space="preserve"> зони.</w:t>
            </w:r>
          </w:p>
        </w:tc>
        <w:tc>
          <w:tcPr>
            <w:tcW w:w="38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 xml:space="preserve">Покращити зони доступу до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Wi-Fi</w:t>
            </w:r>
            <w:proofErr w:type="spellEnd"/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 xml:space="preserve"> в наступних установах: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1.Заклади середньої освіти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2.ЦНАП, їх територіальні підрозділи та відділи реєстрації місця проживання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3.Бібліотеки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 xml:space="preserve">4.Пункти незламності 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6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70%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20%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20%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DA6039">
        <w:trPr>
          <w:trHeight w:val="1470"/>
        </w:trPr>
        <w:tc>
          <w:tcPr>
            <w:tcW w:w="64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111A18"/>
                <w:sz w:val="20"/>
                <w:szCs w:val="20"/>
              </w:rPr>
              <w:t>11</w:t>
            </w:r>
          </w:p>
        </w:tc>
        <w:tc>
          <w:tcPr>
            <w:tcW w:w="34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111A18"/>
                <w:sz w:val="20"/>
                <w:szCs w:val="20"/>
              </w:rPr>
              <w:t>Отримання публічної інформації.</w:t>
            </w:r>
          </w:p>
        </w:tc>
        <w:tc>
          <w:tcPr>
            <w:tcW w:w="38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Здійснити аналіз інформаційних ресурсів, визначити необхідні для публікації типи даних, створити зручну веб-платформу з інтеграцією до інших систем, розробити стандарти публікацій та політику оновлення даних, популяризувати доступ через соціальні мережі, провести навчання для працівників та підготувати методичні рекомендації.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6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10%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80%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10%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DA6039">
        <w:trPr>
          <w:trHeight w:val="315"/>
        </w:trPr>
        <w:tc>
          <w:tcPr>
            <w:tcW w:w="645" w:type="dxa"/>
            <w:vMerge w:val="restart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111A18"/>
                <w:sz w:val="20"/>
                <w:szCs w:val="20"/>
              </w:rPr>
              <w:t>12</w:t>
            </w:r>
          </w:p>
        </w:tc>
        <w:tc>
          <w:tcPr>
            <w:tcW w:w="349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111A18"/>
                <w:sz w:val="20"/>
                <w:szCs w:val="20"/>
              </w:rPr>
              <w:t xml:space="preserve">Занесення метаданих до </w:t>
            </w:r>
            <w:r>
              <w:rPr>
                <w:rFonts w:ascii="Times New Roman" w:eastAsia="Times New Roman" w:hAnsi="Times New Roman" w:cs="Times New Roman"/>
                <w:b/>
                <w:color w:val="111A18"/>
                <w:sz w:val="20"/>
                <w:szCs w:val="20"/>
              </w:rPr>
              <w:lastRenderedPageBreak/>
              <w:t xml:space="preserve">Національного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11A18"/>
                <w:sz w:val="20"/>
                <w:szCs w:val="20"/>
              </w:rPr>
              <w:t>геопорталу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11A18"/>
                <w:sz w:val="20"/>
                <w:szCs w:val="20"/>
              </w:rPr>
              <w:t>.</w:t>
            </w:r>
          </w:p>
        </w:tc>
        <w:tc>
          <w:tcPr>
            <w:tcW w:w="3810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lastRenderedPageBreak/>
              <w:t>Реєстрація завершена.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lastRenderedPageBreak/>
              <w:t>Верифікація даних: Провести перевірку через відповідальні органи, такі як геодезисти та картографи.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Інтеграція та навчання: Забезпечити інтеграцію даних з іншими платформами та організувати навчання персоналу для роботи з системою.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Оцінка даних: Здійснити аналіз містобудівних, землевпорядних та топографічних документів для реєстрації.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 xml:space="preserve">Підготовка метаданих: Привести документи у відповідність до стандартів метаданих Національного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геопорталу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.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Реєстрація: Подати підготовлені дані на реєстрацію в систему порталу.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Навчання та підтримка: Провести навчання для відповідальних осіб та забезпечити технічну підтримку.</w:t>
            </w:r>
          </w:p>
        </w:tc>
        <w:tc>
          <w:tcPr>
            <w:tcW w:w="103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%</w:t>
            </w:r>
          </w:p>
        </w:tc>
        <w:tc>
          <w:tcPr>
            <w:tcW w:w="960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40%</w:t>
            </w:r>
          </w:p>
        </w:tc>
        <w:tc>
          <w:tcPr>
            <w:tcW w:w="103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60%</w:t>
            </w:r>
          </w:p>
        </w:tc>
        <w:tc>
          <w:tcPr>
            <w:tcW w:w="103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3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15" w:type="dxa"/>
            <w:vMerge w:val="restart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DA6039">
        <w:trPr>
          <w:trHeight w:val="3225"/>
        </w:trPr>
        <w:tc>
          <w:tcPr>
            <w:tcW w:w="645" w:type="dxa"/>
            <w:vMerge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6039" w:rsidRDefault="00DA603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6039" w:rsidRDefault="00DA603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0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6039" w:rsidRDefault="00DA603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6039" w:rsidRDefault="00DA603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DA603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6039" w:rsidRDefault="00DA603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6039" w:rsidRDefault="00DA603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6039" w:rsidRDefault="00DA603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vMerge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6039" w:rsidRDefault="00DA6039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6039" w:rsidTr="00550E5B">
        <w:trPr>
          <w:trHeight w:val="941"/>
        </w:trPr>
        <w:tc>
          <w:tcPr>
            <w:tcW w:w="64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13</w:t>
            </w:r>
          </w:p>
        </w:tc>
        <w:tc>
          <w:tcPr>
            <w:tcW w:w="34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Включення комунальних спортивних споруд до реєстру.</w:t>
            </w:r>
          </w:p>
        </w:tc>
        <w:tc>
          <w:tcPr>
            <w:tcW w:w="38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Оцінка стану спортивних об'єктів – перевірка всіх комунальних споруд та їх технічного стану.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Розробка вимог – встановлення критеріїв для включення об'єктів до Реєстру.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Інформування власників – проведення інформаційних кампаній та консультацій для власників щодо необхідності включення об'єктів.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Підтримка власників – надання допомоги у зборі документів та поданні необхідної інформації.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Додавання до Реєстру – створення платформи для збору та обробки даних.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Оновлення та перевірка – регулярне оновлення даних у Реєстрі.</w:t>
            </w:r>
          </w:p>
          <w:p w:rsidR="00DA6039" w:rsidRDefault="006C0FBC" w:rsidP="00550E5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lastRenderedPageBreak/>
              <w:t>Публікація Реєстру – забезпечення відкритого доступу до інформації для громадян.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%</w:t>
            </w:r>
          </w:p>
        </w:tc>
        <w:tc>
          <w:tcPr>
            <w:tcW w:w="96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20%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80%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DA6039">
        <w:trPr>
          <w:trHeight w:val="1890"/>
        </w:trPr>
        <w:tc>
          <w:tcPr>
            <w:tcW w:w="64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14</w:t>
            </w:r>
          </w:p>
        </w:tc>
        <w:tc>
          <w:tcPr>
            <w:tcW w:w="34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Занесення та перевірка інформації в реєстрі нерухомої спадщини 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єПам'ятка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8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 xml:space="preserve">Розробка онлайн-системи для подачі заявок від власників спортивних споруд та внесення об'єктів нерухомості до Реєстру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єПам'ятка</w:t>
            </w:r>
            <w:proofErr w:type="spellEnd"/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, верифікація прав власності та історичних даних, оцінка технічного стану, комунікація щодо статусу заявок, реєстрація пам'яток через електронні платформи, інформування громади та постійний моніторинг стану об'єктів з наданням підтримки для поліпшення інфраструктури.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6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50%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50%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DA6039">
        <w:trPr>
          <w:trHeight w:val="4125"/>
        </w:trPr>
        <w:tc>
          <w:tcPr>
            <w:tcW w:w="64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111A18"/>
                <w:sz w:val="20"/>
                <w:szCs w:val="20"/>
              </w:rPr>
              <w:t>15</w:t>
            </w:r>
          </w:p>
        </w:tc>
        <w:tc>
          <w:tcPr>
            <w:tcW w:w="34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111A18"/>
                <w:sz w:val="20"/>
                <w:szCs w:val="20"/>
              </w:rPr>
              <w:t xml:space="preserve">Інтеграція працівників органів місцевого самоврядування до платформи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11A18"/>
                <w:sz w:val="20"/>
                <w:szCs w:val="20"/>
              </w:rPr>
              <w:t>Дія.освіта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11A18"/>
                <w:sz w:val="20"/>
                <w:szCs w:val="20"/>
              </w:rPr>
              <w:t xml:space="preserve"> з метою підвищення їх цифрової грамотності та поліпшення ефективності роботи.</w:t>
            </w:r>
          </w:p>
        </w:tc>
        <w:tc>
          <w:tcPr>
            <w:tcW w:w="38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Оцінка потреб та цільової аудиторії: Ідентифікувати співробітників органів місцевого самоврядування та комунальних установ, які потребують навчання на платформі.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Інтеграція з іншими системами: Забезпечити легкий доступ до платформи через державні реєстраційні системи.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Інформаційна кампанія: Запустити інформаційну кампанію через соціальні мережі та внутрішні канали для поширення інформації про платформу.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 xml:space="preserve">Тренінги 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вебінари</w:t>
            </w:r>
            <w:proofErr w:type="spellEnd"/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: Провести навчальні заходи для працівників щодо використання платформи.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Мотивація: Впровадити систему сертифікації та стимулювання для активних учасників.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6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20%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70%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50%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DA6039">
        <w:trPr>
          <w:trHeight w:val="4350"/>
        </w:trPr>
        <w:tc>
          <w:tcPr>
            <w:tcW w:w="64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16</w:t>
            </w:r>
          </w:p>
        </w:tc>
        <w:tc>
          <w:tcPr>
            <w:tcW w:w="34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Впровадження освітніх інформаційних систем у закладах загальної середньої освіти та їх філіях.</w:t>
            </w:r>
          </w:p>
        </w:tc>
        <w:tc>
          <w:tcPr>
            <w:tcW w:w="38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Оцінка потреб – аналіз поточних процесів в освітніх установах та визначення необхідних функцій для ОІС.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Вибір і налаштування ОІС – підбір відповідної системи та її налаштування для обліку учнів, планування уроків, оцінок тощо.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Інтеграція – з’єднання ОІС з іншими платформами та базами даних для забезпечення ефективної взаємодії.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Навчання персоналу – проведення тренінгів для вчителів та адміністративного персоналу.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Пілотне впровадження – тестування ОІС в декількох закладах.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Масштабування – розширення використання системи на всі школи та їх філії.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Інформаційна кампанія – інформування батьків і громади про нові можливості системи.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6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50%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50%</w:t>
            </w:r>
          </w:p>
        </w:tc>
        <w:tc>
          <w:tcPr>
            <w:tcW w:w="15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DA6039" w:rsidTr="00550E5B">
        <w:trPr>
          <w:trHeight w:val="1956"/>
        </w:trPr>
        <w:tc>
          <w:tcPr>
            <w:tcW w:w="64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34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ТГ успішно завершила курс з навчання по адресному реєстру (ЄДРА).</w:t>
            </w:r>
          </w:p>
        </w:tc>
        <w:tc>
          <w:tcPr>
            <w:tcW w:w="38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Оцінка потреб та рівня знань працівників територіальної громади стосовно ЄДРА.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Розробка програми навчання та організація тренінгів для співробітників.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Інтеграція навчального процесу з реальними операціями обробки даних.</w:t>
            </w:r>
          </w:p>
          <w:p w:rsidR="00DA6039" w:rsidRDefault="006C0FBC" w:rsidP="00550E5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Моніторинг ефективності навчання та коригування методів.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6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50%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50%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DA6039">
        <w:trPr>
          <w:trHeight w:val="3900"/>
        </w:trPr>
        <w:tc>
          <w:tcPr>
            <w:tcW w:w="64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18</w:t>
            </w:r>
          </w:p>
        </w:tc>
        <w:tc>
          <w:tcPr>
            <w:tcW w:w="34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Підсистема «Кейс-менеджмент» (соціальна сфера)</w:t>
            </w:r>
          </w:p>
        </w:tc>
        <w:tc>
          <w:tcPr>
            <w:tcW w:w="38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Організувати діяльність кейс-менеджерів для ефективної координації соціальної допомоги.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Створити електронні кабінети для отримувачів послуг, надавачів і кейс-менеджерів.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Впровадити електронні картки, що відображають соціальну історію клієнтів.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Оцінювати потреби клієнтів та розробляти індивідуальні плани допомоги.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Залучати фахівців з різних галузей для комплексного вирішення проблем.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Моніторити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зміни в ситуації клієнтів і регулярно оновлювати їхні картки.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Здійснювати превентивні заходи для попередження складних життєвих обставин.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Аналізувати результативність наданих послуг та коригувати робочі процеси.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6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0%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50%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50%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DA6039" w:rsidTr="00550E5B">
        <w:trPr>
          <w:trHeight w:val="941"/>
        </w:trPr>
        <w:tc>
          <w:tcPr>
            <w:tcW w:w="64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34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Заклади охорони здоров’я запровадили політики та процедури інформаційної безпеки відповідно до рекомендацій МОЗ 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Держспецзв’язку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8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 xml:space="preserve">Ознайомлення з нормативними вимогами МОЗ 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Держспецзв'язку</w:t>
            </w:r>
            <w:proofErr w:type="spellEnd"/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: аналіз політик та процедур безпеки.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Оцінка існуючих систем: визначення рівня безпеки та виявлення уразливих місць.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Розробка внутрішніх політик безпеки: створення регламентів для захисту даних.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Навчання персоналу: організація тренінгів для співробітників закладів.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Впровадження технологій захисту: застосування шифрування даних, контроль доступу та антивірусного програмного забезпечення.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Моніторинг і перевірка: постійний моніторинг та оновлення політик безпеки.</w:t>
            </w:r>
          </w:p>
          <w:p w:rsidR="00550E5B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lastRenderedPageBreak/>
              <w:t>Адаптація до нових вимог: оновлення політик відповідно до змін у законодавстві та стандартах.</w:t>
            </w:r>
          </w:p>
          <w:p w:rsidR="00550E5B" w:rsidRPr="00550E5B" w:rsidRDefault="00550E5B" w:rsidP="00550E5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50E5B" w:rsidRPr="00550E5B" w:rsidRDefault="00550E5B" w:rsidP="00550E5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50E5B" w:rsidRPr="00550E5B" w:rsidRDefault="00550E5B" w:rsidP="00550E5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50E5B" w:rsidRDefault="00550E5B" w:rsidP="00550E5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A6039" w:rsidRPr="00550E5B" w:rsidRDefault="00DA6039" w:rsidP="00550E5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%</w:t>
            </w:r>
          </w:p>
        </w:tc>
        <w:tc>
          <w:tcPr>
            <w:tcW w:w="96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10%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40%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50%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DA6039">
        <w:trPr>
          <w:trHeight w:val="3450"/>
        </w:trPr>
        <w:tc>
          <w:tcPr>
            <w:tcW w:w="64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20</w:t>
            </w:r>
          </w:p>
        </w:tc>
        <w:tc>
          <w:tcPr>
            <w:tcW w:w="349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Запровадження електронної черги через CRM-систему для ЦНАП.</w:t>
            </w:r>
          </w:p>
        </w:tc>
        <w:tc>
          <w:tcPr>
            <w:tcW w:w="381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Оцінка потреб ЦНАП: Аналіз поточних процесів та визначення вимог до майбутньої системи.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Вибір CRM-системи: Огляд та інтеграція платформи з підтримкою електронної черги.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Розробка модуля електронної черги: Налаштування онлайн-запису та визначення пріоритетів для пільгових категорій.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Тестування та запуск: Проведення пілотного тестування та внесення коригувань у систему.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Навчання персоналу: Проведення тренінгів для співробітників та розробка методичних матеріалів.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Інформування громадян: Проведення інформаційної кампанії та надання інструкцій для користувачів.</w:t>
            </w:r>
          </w:p>
          <w:p w:rsidR="00DA6039" w:rsidRDefault="006C0FBC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11A18"/>
                <w:sz w:val="20"/>
                <w:szCs w:val="20"/>
              </w:rPr>
              <w:t>Моніторинг та вдосконалення: Оцінка результативності та оновлення системи для покращення її роботи.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Так/Ні</w:t>
            </w:r>
          </w:p>
        </w:tc>
        <w:tc>
          <w:tcPr>
            <w:tcW w:w="960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Ні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Ні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Так</w:t>
            </w:r>
          </w:p>
        </w:tc>
        <w:tc>
          <w:tcPr>
            <w:tcW w:w="103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Так</w:t>
            </w:r>
          </w:p>
        </w:tc>
        <w:tc>
          <w:tcPr>
            <w:tcW w:w="15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A6039" w:rsidRDefault="006C0FB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</w:tr>
    </w:tbl>
    <w:p w:rsidR="00DA6039" w:rsidRDefault="00DA603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6039" w:rsidRDefault="00DA603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6039" w:rsidRDefault="00DA603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6039" w:rsidRDefault="00DA603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6039" w:rsidRDefault="00DA603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6039" w:rsidRDefault="00DA603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6039" w:rsidRDefault="00DA603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6039" w:rsidRDefault="00DA603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6039" w:rsidRDefault="00DA603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6039" w:rsidRDefault="00DA603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6039" w:rsidRDefault="00DA603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6039" w:rsidRDefault="00DA603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A6039" w:rsidRDefault="00DA6039">
      <w:pPr>
        <w:rPr>
          <w:rFonts w:ascii="Times New Roman" w:eastAsia="Times New Roman" w:hAnsi="Times New Roman" w:cs="Times New Roman"/>
          <w:sz w:val="20"/>
          <w:szCs w:val="20"/>
        </w:rPr>
      </w:pPr>
    </w:p>
    <w:sectPr w:rsidR="00DA6039"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039"/>
    <w:rsid w:val="00550E5B"/>
    <w:rsid w:val="006C0FBC"/>
    <w:rsid w:val="00DA6039"/>
    <w:rsid w:val="00F62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F10650-F7CB-400F-A04B-7EAB2DBC8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uk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1643</Words>
  <Characters>9369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MARIYA-SKR</dc:creator>
  <cp:lastModifiedBy>MARIYA-SKR</cp:lastModifiedBy>
  <cp:revision>4</cp:revision>
  <dcterms:created xsi:type="dcterms:W3CDTF">2025-02-21T07:19:00Z</dcterms:created>
  <dcterms:modified xsi:type="dcterms:W3CDTF">2025-02-21T08:02:00Z</dcterms:modified>
</cp:coreProperties>
</file>